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服务行业平衡计分卡模板（侧重客户/流程维度）</w:t>
      </w:r>
    </w:p>
    <w:p>
      <w:pPr>
        <w:jc w:val="center"/>
      </w:pPr>
      <w:r>
        <w:t>版本：V1.0 | 日期：2026-03-01 | 作者：卓越质量智库</w:t>
      </w:r>
    </w:p>
    <w:p>
      <w:r>
        <w:br w:type="page"/>
      </w:r>
    </w:p>
    <w:p>
      <w:pPr>
        <w:pStyle w:val="Heading1"/>
      </w:pPr>
      <w:r>
        <w:t>一、维度框架</w:t>
      </w:r>
    </w:p>
    <w:p>
      <w:r>
        <w:t>本模板侧重客户体验与服务流程效率，覆盖四大平衡计分卡维度：</w:t>
      </w:r>
    </w:p>
    <w:p>
      <w:r>
        <w:t>• 财务维度：营收增长、客户复购率</w:t>
      </w:r>
    </w:p>
    <w:p>
      <w:r>
        <w:t>• 客户维度：NPS净推荐值、服务响应时间</w:t>
      </w:r>
    </w:p>
    <w:p>
      <w:r>
        <w:t>• 内部流程：服务工单处理及时率、一次解决率</w:t>
      </w:r>
    </w:p>
    <w:p>
      <w:r>
        <w:t>• 学习与成长：员工服务认证率、客户培训次数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维度</w:t>
            </w:r>
          </w:p>
        </w:tc>
        <w:tc>
          <w:tcPr>
            <w:tcW w:type="dxa" w:w="1440"/>
          </w:tcPr>
          <w:p>
            <w:r>
              <w:t>战略目标</w:t>
            </w:r>
          </w:p>
        </w:tc>
        <w:tc>
          <w:tcPr>
            <w:tcW w:type="dxa" w:w="1440"/>
          </w:tcPr>
          <w:p>
            <w:r>
              <w:t>关键绩效指标（KPI）</w:t>
            </w:r>
          </w:p>
        </w:tc>
        <w:tc>
          <w:tcPr>
            <w:tcW w:type="dxa" w:w="1440"/>
          </w:tcPr>
          <w:p>
            <w:r>
              <w:t>目标值</w:t>
            </w:r>
          </w:p>
        </w:tc>
        <w:tc>
          <w:tcPr>
            <w:tcW w:type="dxa" w:w="1440"/>
          </w:tcPr>
          <w:p>
            <w:r>
              <w:t>数据来源</w:t>
            </w:r>
          </w:p>
        </w:tc>
        <w:tc>
          <w:tcPr>
            <w:tcW w:type="dxa" w:w="1440"/>
          </w:tcPr>
          <w:p>
            <w:r>
              <w:t>责任人</w:t>
            </w:r>
          </w:p>
        </w:tc>
      </w:tr>
      <w:tr>
        <w:tc>
          <w:tcPr>
            <w:tcW w:type="dxa" w:w="1440"/>
          </w:tcPr>
          <w:p>
            <w:r>
              <w:t>财务</w:t>
            </w:r>
          </w:p>
        </w:tc>
        <w:tc>
          <w:tcPr>
            <w:tcW w:type="dxa" w:w="1440"/>
          </w:tcPr>
          <w:p>
            <w:r>
              <w:t>提升营收规模</w:t>
            </w:r>
          </w:p>
        </w:tc>
        <w:tc>
          <w:tcPr>
            <w:tcW w:type="dxa" w:w="1440"/>
          </w:tcPr>
          <w:p>
            <w:r>
              <w:t>营业收入增长率、客户复购率</w:t>
            </w:r>
          </w:p>
        </w:tc>
        <w:tc>
          <w:tcPr>
            <w:tcW w:type="dxa" w:w="1440"/>
          </w:tcPr>
          <w:p>
            <w:r>
              <w:t>营收增长≥15%</w:t>
            </w:r>
          </w:p>
        </w:tc>
        <w:tc>
          <w:tcPr>
            <w:tcW w:type="dxa" w:w="1440"/>
          </w:tcPr>
          <w:p>
            <w:r>
              <w:t>财务系统</w:t>
            </w:r>
          </w:p>
        </w:tc>
        <w:tc>
          <w:tcPr>
            <w:tcW w:type="dxa" w:w="1440"/>
          </w:tcPr>
          <w:p>
            <w:r>
              <w:t>CFO</w:t>
            </w:r>
          </w:p>
        </w:tc>
      </w:tr>
      <w:tr>
        <w:tc>
          <w:tcPr>
            <w:tcW w:type="dxa" w:w="1440"/>
          </w:tcPr>
          <w:p>
            <w:r>
              <w:t>客户</w:t>
            </w:r>
          </w:p>
        </w:tc>
        <w:tc>
          <w:tcPr>
            <w:tcW w:type="dxa" w:w="1440"/>
          </w:tcPr>
          <w:p>
            <w:r>
              <w:t>提升客户满意度</w:t>
            </w:r>
          </w:p>
        </w:tc>
        <w:tc>
          <w:tcPr>
            <w:tcW w:type="dxa" w:w="1440"/>
          </w:tcPr>
          <w:p>
            <w:r>
              <w:t>NPS净推荐值、服务响应时间</w:t>
            </w:r>
          </w:p>
        </w:tc>
        <w:tc>
          <w:tcPr>
            <w:tcW w:type="dxa" w:w="1440"/>
          </w:tcPr>
          <w:p>
            <w:r>
              <w:t>NPS≥50</w:t>
            </w:r>
          </w:p>
        </w:tc>
        <w:tc>
          <w:tcPr>
            <w:tcW w:type="dxa" w:w="1440"/>
          </w:tcPr>
          <w:p>
            <w:r>
              <w:t>CRM系统</w:t>
            </w:r>
          </w:p>
        </w:tc>
        <w:tc>
          <w:tcPr>
            <w:tcW w:type="dxa" w:w="1440"/>
          </w:tcPr>
          <w:p>
            <w:r>
              <w:t>客户总监</w:t>
            </w:r>
          </w:p>
        </w:tc>
      </w:tr>
      <w:tr>
        <w:tc>
          <w:tcPr>
            <w:tcW w:type="dxa" w:w="1440"/>
          </w:tcPr>
          <w:p>
            <w:r>
              <w:t>内部流程</w:t>
            </w:r>
          </w:p>
        </w:tc>
        <w:tc>
          <w:tcPr>
            <w:tcW w:type="dxa" w:w="1440"/>
          </w:tcPr>
          <w:p>
            <w:r>
              <w:t>优化服务流程</w:t>
            </w:r>
          </w:p>
        </w:tc>
        <w:tc>
          <w:tcPr>
            <w:tcW w:type="dxa" w:w="1440"/>
          </w:tcPr>
          <w:p>
            <w:r>
              <w:t>服务工单处理及时率、一次解决率</w:t>
            </w:r>
          </w:p>
        </w:tc>
        <w:tc>
          <w:tcPr>
            <w:tcW w:type="dxa" w:w="1440"/>
          </w:tcPr>
          <w:p>
            <w:r>
              <w:t>一次解决率≥90%</w:t>
            </w:r>
          </w:p>
        </w:tc>
        <w:tc>
          <w:tcPr>
            <w:tcW w:type="dxa" w:w="1440"/>
          </w:tcPr>
          <w:p>
            <w:r>
              <w:t>服务系统</w:t>
            </w:r>
          </w:p>
        </w:tc>
        <w:tc>
          <w:tcPr>
            <w:tcW w:type="dxa" w:w="1440"/>
          </w:tcPr>
          <w:p>
            <w:r>
              <w:t>运营总监</w:t>
            </w:r>
          </w:p>
        </w:tc>
      </w:tr>
      <w:tr>
        <w:tc>
          <w:tcPr>
            <w:tcW w:type="dxa" w:w="1440"/>
          </w:tcPr>
          <w:p>
            <w:r>
              <w:t>学习与成长</w:t>
            </w:r>
          </w:p>
        </w:tc>
        <w:tc>
          <w:tcPr>
            <w:tcW w:type="dxa" w:w="1440"/>
          </w:tcPr>
          <w:p>
            <w:r>
              <w:t>提升服务能力</w:t>
            </w:r>
          </w:p>
        </w:tc>
        <w:tc>
          <w:tcPr>
            <w:tcW w:type="dxa" w:w="1440"/>
          </w:tcPr>
          <w:p>
            <w:r>
              <w:t>员工服务认证率、客户培训次数</w:t>
            </w:r>
          </w:p>
        </w:tc>
        <w:tc>
          <w:tcPr>
            <w:tcW w:type="dxa" w:w="1440"/>
          </w:tcPr>
          <w:p>
            <w:r>
              <w:t>认证率≥80%</w:t>
            </w:r>
          </w:p>
        </w:tc>
        <w:tc>
          <w:tcPr>
            <w:tcW w:type="dxa" w:w="1440"/>
          </w:tcPr>
          <w:p>
            <w:r>
              <w:t>HR系统</w:t>
            </w:r>
          </w:p>
        </w:tc>
        <w:tc>
          <w:tcPr>
            <w:tcW w:type="dxa" w:w="1440"/>
          </w:tcPr>
          <w:p>
            <w:r>
              <w:t>人力总监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